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83" w:rsidRPr="00A471FC" w:rsidRDefault="00650292" w:rsidP="00650292">
      <w:pPr>
        <w:jc w:val="center"/>
        <w:rPr>
          <w:rFonts w:ascii="Verdana" w:hAnsi="Verdana"/>
          <w:b/>
          <w:sz w:val="32"/>
          <w:szCs w:val="32"/>
        </w:rPr>
      </w:pPr>
      <w:r w:rsidRPr="00A471FC">
        <w:rPr>
          <w:rFonts w:ascii="Verdana" w:hAnsi="Verdana"/>
          <w:b/>
          <w:sz w:val="32"/>
          <w:szCs w:val="32"/>
        </w:rPr>
        <w:t>ОСОБЕНО МНЕНИЕ</w:t>
      </w:r>
    </w:p>
    <w:p w:rsidR="00650292" w:rsidRPr="00650292" w:rsidRDefault="00A471FC" w:rsidP="00650292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о</w:t>
      </w:r>
      <w:r w:rsidR="00650292" w:rsidRPr="00650292">
        <w:rPr>
          <w:rFonts w:ascii="Verdana" w:hAnsi="Verdana"/>
          <w:sz w:val="28"/>
          <w:szCs w:val="28"/>
        </w:rPr>
        <w:t xml:space="preserve">т </w:t>
      </w:r>
      <w:proofErr w:type="spellStart"/>
      <w:r w:rsidR="00650292" w:rsidRPr="00650292">
        <w:rPr>
          <w:rFonts w:ascii="Verdana" w:hAnsi="Verdana"/>
          <w:sz w:val="28"/>
          <w:szCs w:val="28"/>
        </w:rPr>
        <w:t>Сребрина</w:t>
      </w:r>
      <w:proofErr w:type="spellEnd"/>
      <w:r w:rsidR="00650292" w:rsidRPr="00650292">
        <w:rPr>
          <w:rFonts w:ascii="Verdana" w:hAnsi="Verdana"/>
          <w:sz w:val="28"/>
          <w:szCs w:val="28"/>
        </w:rPr>
        <w:t xml:space="preserve"> Атанасова </w:t>
      </w:r>
      <w:proofErr w:type="spellStart"/>
      <w:r w:rsidR="00650292" w:rsidRPr="00650292">
        <w:rPr>
          <w:rFonts w:ascii="Verdana" w:hAnsi="Verdana"/>
          <w:sz w:val="28"/>
          <w:szCs w:val="28"/>
        </w:rPr>
        <w:t>Ганушева</w:t>
      </w:r>
      <w:proofErr w:type="spellEnd"/>
    </w:p>
    <w:p w:rsidR="00650292" w:rsidRPr="00A471FC" w:rsidRDefault="00650292" w:rsidP="00650292">
      <w:pPr>
        <w:jc w:val="center"/>
        <w:rPr>
          <w:rFonts w:ascii="Verdana" w:hAnsi="Verdana"/>
          <w:sz w:val="20"/>
          <w:szCs w:val="20"/>
        </w:rPr>
      </w:pPr>
      <w:r w:rsidRPr="00A471FC">
        <w:rPr>
          <w:rFonts w:ascii="Verdana" w:hAnsi="Verdana"/>
          <w:sz w:val="20"/>
          <w:szCs w:val="20"/>
        </w:rPr>
        <w:t>Заместник председател</w:t>
      </w:r>
    </w:p>
    <w:p w:rsidR="00650292" w:rsidRPr="00A471FC" w:rsidRDefault="00650292" w:rsidP="00650292">
      <w:pPr>
        <w:jc w:val="center"/>
        <w:rPr>
          <w:rFonts w:ascii="Verdana" w:hAnsi="Verdana"/>
          <w:sz w:val="20"/>
          <w:szCs w:val="20"/>
        </w:rPr>
      </w:pPr>
      <w:r w:rsidRPr="00A471FC">
        <w:rPr>
          <w:rFonts w:ascii="Verdana" w:hAnsi="Verdana"/>
          <w:sz w:val="20"/>
          <w:szCs w:val="20"/>
        </w:rPr>
        <w:t>на Районна избирателна комисия 21 – Сливен</w:t>
      </w:r>
    </w:p>
    <w:p w:rsidR="00650292" w:rsidRPr="00650292" w:rsidRDefault="00650292">
      <w:pPr>
        <w:rPr>
          <w:rFonts w:ascii="Verdana" w:hAnsi="Verdana"/>
          <w:sz w:val="20"/>
          <w:szCs w:val="20"/>
        </w:rPr>
      </w:pPr>
    </w:p>
    <w:p w:rsidR="00A471FC" w:rsidRDefault="00A471FC" w:rsidP="00650292">
      <w:pPr>
        <w:ind w:firstLine="567"/>
        <w:jc w:val="both"/>
        <w:rPr>
          <w:rFonts w:ascii="Verdana" w:hAnsi="Verdana"/>
          <w:sz w:val="20"/>
          <w:szCs w:val="20"/>
        </w:rPr>
      </w:pPr>
    </w:p>
    <w:p w:rsidR="00650292" w:rsidRDefault="00650292" w:rsidP="00A471FC">
      <w:pPr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50292">
        <w:rPr>
          <w:rFonts w:ascii="Verdana" w:hAnsi="Verdana"/>
          <w:sz w:val="20"/>
          <w:szCs w:val="20"/>
        </w:rPr>
        <w:t xml:space="preserve">Във </w:t>
      </w:r>
      <w:r>
        <w:rPr>
          <w:rFonts w:ascii="Verdana" w:hAnsi="Verdana"/>
          <w:sz w:val="20"/>
          <w:szCs w:val="20"/>
        </w:rPr>
        <w:t>връзка с Решение № 152-НС / 18.04.2026 г. гласувах ПРОТИВ:</w:t>
      </w:r>
    </w:p>
    <w:p w:rsidR="00650292" w:rsidRDefault="00650292" w:rsidP="00A471FC">
      <w:pPr>
        <w:pStyle w:val="a3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въпроса за осигуряване на пряка видимост. Приетото пространствено разпределение фактически поставя застъпниците, наблюдателите, представителите, кандидатите и другите легитимирани участници в обособени зони с ограничена възможност за придвижване. Тази организация води до:</w:t>
      </w:r>
    </w:p>
    <w:p w:rsidR="00650292" w:rsidRDefault="00650292" w:rsidP="00A471FC">
      <w:pPr>
        <w:pStyle w:val="a3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Невъзможност за непосредствено проследяване на всички действия по приемане и проверка на протоколите;</w:t>
      </w:r>
    </w:p>
    <w:p w:rsidR="00650292" w:rsidRDefault="00650292" w:rsidP="00A471FC">
      <w:pPr>
        <w:pStyle w:val="a3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Поставяне на наблюдението в зависимост от разстояние, визуален обхват и физически препятствия;</w:t>
      </w:r>
    </w:p>
    <w:p w:rsidR="00650292" w:rsidRDefault="00650292" w:rsidP="00A471FC">
      <w:pPr>
        <w:pStyle w:val="a3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Създаване на условия за частична, а не пълна прозрачност на процеса.</w:t>
      </w:r>
    </w:p>
    <w:p w:rsidR="00650292" w:rsidRDefault="00A471FC" w:rsidP="00A471FC">
      <w:pPr>
        <w:pStyle w:val="a3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Според чл. 288а от Изборния кодекс. Разпоредбата на чл. 288а ИК гарантира не просто формално присъствие, а ефективна възможност за наблюдение, изразяваща се в „пряка видимост“.</w:t>
      </w:r>
    </w:p>
    <w:p w:rsidR="00A471FC" w:rsidRDefault="00A471FC" w:rsidP="00A471FC">
      <w:p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Следва да се приеме, че:</w:t>
      </w:r>
      <w:bookmarkStart w:id="0" w:name="_GoBack"/>
      <w:bookmarkEnd w:id="0"/>
    </w:p>
    <w:p w:rsidR="00A471FC" w:rsidRDefault="00A471FC" w:rsidP="00A471FC">
      <w:pPr>
        <w:pStyle w:val="a3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„пряка видимост“ е фактическа и непосредствена възможност за възприятие на действията на комисията;</w:t>
      </w:r>
    </w:p>
    <w:p w:rsidR="00A471FC" w:rsidRDefault="00A471FC" w:rsidP="00A471FC">
      <w:pPr>
        <w:pStyle w:val="a3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Всяка организация, която свежда това право до статично и ограничено позициониране, противоречи на смисъл на закона.</w:t>
      </w:r>
    </w:p>
    <w:p w:rsidR="00A471FC" w:rsidRPr="00A471FC" w:rsidRDefault="00A471FC" w:rsidP="00A471FC">
      <w:pPr>
        <w:pStyle w:val="a3"/>
        <w:spacing w:line="36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този смисъл, въведеният модел де факто редуцира съдържанието на гарантираното право.</w:t>
      </w:r>
    </w:p>
    <w:sectPr w:rsidR="00A471FC" w:rsidRPr="00A47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3709"/>
    <w:multiLevelType w:val="hybridMultilevel"/>
    <w:tmpl w:val="5D96BDD0"/>
    <w:lvl w:ilvl="0" w:tplc="69B02128">
      <w:start w:val="1"/>
      <w:numFmt w:val="bullet"/>
      <w:lvlText w:val="-"/>
      <w:lvlJc w:val="left"/>
      <w:pPr>
        <w:ind w:left="1287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FBF4F49"/>
    <w:multiLevelType w:val="hybridMultilevel"/>
    <w:tmpl w:val="36DE4AAE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92"/>
    <w:rsid w:val="00650292"/>
    <w:rsid w:val="00A471FC"/>
    <w:rsid w:val="00E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5110"/>
  <w15:chartTrackingRefBased/>
  <w15:docId w15:val="{81102533-11A5-4DCF-AD21-9F333E9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2026-04-18T14:31:00Z</dcterms:created>
  <dcterms:modified xsi:type="dcterms:W3CDTF">2026-04-18T15:08:00Z</dcterms:modified>
</cp:coreProperties>
</file>